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50" w:rsidRDefault="00A46468" w:rsidP="00A46468">
      <w:pPr>
        <w:jc w:val="cente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医疗机构管理条例（2016修订）</w:t>
      </w:r>
    </w:p>
    <w:p w:rsidR="00A46468" w:rsidRDefault="00A46468" w:rsidP="00A46468">
      <w:pPr>
        <w:pStyle w:val="a5"/>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（1994年2月26日中华人民共和国国务院令第149号发布 根据2016年2月6日《国务院关于修改部分行政法规的决定》修订）</w:t>
      </w: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第一章 总 则</w:t>
      </w:r>
    </w:p>
    <w:p w:rsidR="00A46468" w:rsidRDefault="00A46468" w:rsidP="00A46468">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第一条为了加强对医疗机构的管理，促进医疗卫生事业的发展，保障公民健康，制定本条例。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第二条本条例适用于从事疾病诊断、治疗活动的医院、卫生院、疗养院、门诊部、诊所、卫生所（室）以及急救站等医疗机构。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第三条医疗机构以救死扶伤，防病治病，为公民的健康服务为宗旨。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第四条国家扶持医疗机构的发展，鼓励多种形式兴办医疗机构。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第五条国务院卫生行政部门负责全国医疗机构的监督管理工作。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县级以上地方人民政府卫生行政部门负责本行政区域内医疗机构的监督管理工作。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中国人民解放军卫生主管部门依照本条例和国家有关规定，对军队的医疗机构实施监督管理。</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lastRenderedPageBreak/>
        <w:t>第二章 规划布局和设置审批</w:t>
      </w:r>
    </w:p>
    <w:p w:rsidR="00A46468" w:rsidRDefault="00A46468" w:rsidP="00A46468">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第六条县级以上地方人民政府卫生行政部门应当根据本行政区域内的人口、医疗资源、医疗需求和现有医疗机构的分布状况，制定本行政区域医疗机构设置规划。</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机关、企业和事业单位可以根据需要设置医疗机构，并纳入当地医疗机构的设置规划。</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第七条县级以上地方人民政府应当把医疗机构设置规划纳入当地的区域卫生发展规划和城乡建设发展总体规划。</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第八条设置医疗机构应当符合医疗机构设置规划和医疗机构基本标准。</w:t>
      </w:r>
      <w:r>
        <w:rPr>
          <w:rFonts w:ascii="仿宋_GB2312" w:eastAsia="仿宋_GB2312" w:hint="eastAsia"/>
          <w:color w:val="484848"/>
          <w:sz w:val="32"/>
          <w:szCs w:val="32"/>
        </w:rPr>
        <w:t> </w:t>
      </w:r>
      <w:r>
        <w:rPr>
          <w:rFonts w:ascii="仿宋_GB2312" w:eastAsia="仿宋_GB2312" w:hint="eastAsia"/>
          <w:color w:val="484848"/>
          <w:sz w:val="32"/>
          <w:szCs w:val="32"/>
        </w:rPr>
        <w:br/>
        <w:t>医疗机构基本标准由国务院卫生行政部门制定。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第九条单位或者个人设置医疗机构，必须经县级以上地方人民政府卫生行政部门审查批准，并取得设置医疗机构批准书。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第十条申请设置医疗机构，应当提交下列文件：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（一）设置申请书；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（二）设置可行性研究报告；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（三）选址报告和建筑设计平面图。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第十一条单位或者个人设置医疗机构，应当按照以下规定提出设置申请：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（一）不设床位或者床位不满100张的医疗机构，向所</w:t>
      </w:r>
      <w:r>
        <w:rPr>
          <w:rFonts w:ascii="仿宋_GB2312" w:eastAsia="仿宋_GB2312" w:hint="eastAsia"/>
          <w:color w:val="484848"/>
          <w:sz w:val="32"/>
          <w:szCs w:val="32"/>
        </w:rPr>
        <w:lastRenderedPageBreak/>
        <w:t>在地的县级人民政府卫生行政部门申请；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（二）床位在100张以上的医疗机构和专科医院按照省级人民政府卫生行政部门的规定申请。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第十二条县级以上地方人民政府卫生行政部门应当自受理设置申请之日起30日内，</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批准或者不批准的书面答复；批准设置的，发给设置医疗机构批准书。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第十三条国家统一规划的医疗机构的设置，由国务院卫生行政部门决定。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第十四条机关、企业和事业单位按照国家医疗机构基本标准设置为内部职工服务的门诊部、诊所、卫生所（室），报所在地的县级人民政府卫生行政部门备案。</w:t>
      </w: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第三章 登 记</w:t>
      </w:r>
    </w:p>
    <w:p w:rsidR="00A46468" w:rsidRDefault="00A46468" w:rsidP="00A46468">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第十五条医疗机构执业，必须进行登记，领取《医疗机构执业许可证》。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第十六条申请医疗机构执业登记，应当具备下列条件：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（一）有设置医疗机构批准书；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（二）符合医疗机构的基本标准；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（三）有适合的名称、组织机构和场所；</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（四）有与其开展的业务相适应的经费、设施、设备和专业卫生技术人员；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（五）有相应的规章制度；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（六）能够独立承担民事责任。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第十七条医疗机构的执业登记，由批准其设置的人民政府卫生行政部门办理。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按照本条例第十三条规定设置的医疗机构的执业登记，由所在地的省、自治区、直辖市人民政府卫生行政部门办理。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机关、企业和事业单位设置的为内部职工服务的门诊部、诊所、卫生所（室）的执业登记，由所在地的县级人民政府卫生行政部门办理。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第十八条医疗机构执业登记的主要事项：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（一）名称、地址、主要负责人；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（二）所有制形式；</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（三）诊疗科目、床位；</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（四）注册资金。</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九条县级以上地方人民政府卫生行政部门自受理执业登记申请之日起45日内，根据本条例和医疗机构基本标准进行审核。审核合格的，予以登记，发给《医疗机构执业许可证》；审核不合格的，将审核结果以书面形式通知申请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第二十条医疗机构改变名称、场所、主要负责人、诊疗科目、床位，必须向原登记机关办理变更登记。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第二十一条医疗机构歇业，必须向原登记机关办理注销</w:t>
      </w:r>
      <w:r>
        <w:rPr>
          <w:rFonts w:ascii="仿宋_GB2312" w:eastAsia="仿宋_GB2312" w:hint="eastAsia"/>
          <w:color w:val="484848"/>
          <w:sz w:val="32"/>
          <w:szCs w:val="32"/>
        </w:rPr>
        <w:lastRenderedPageBreak/>
        <w:t>登记。经登记机关核准后，收缴《医疗机构执业许可证》。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医疗机构非因改建、扩建、迁建原因停业超过1年的，视为歇业。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第二十二条床位不满100张的医疗机构，其《医疗机构执业许可证》每年校验1次；床位在100张以上的医疗机构，其《医疗机构执业许可证》每3年校验1次。校验由原登记机关办理。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第二十三条《医疗机构执业许可证》不得伪造、涂改、出卖、转让、出借。</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《医疗机构执业许可证》遗失的，应当及时申明，并向原登记机关申请补发。</w:t>
      </w: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第四章 执 业</w:t>
      </w:r>
    </w:p>
    <w:p w:rsidR="00A46468" w:rsidRDefault="00A46468" w:rsidP="00A46468">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第二十四条任何单位或者个人，未取得《医疗机构执业许可证》，不得开展诊疗活动。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第二十五条医疗机构执业，必须遵守有关法律、法规和医疗技术规范。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第二十六条医疗机构必须将《医疗机构执业许可证》、诊疗科目、诊疗时间和收费标准悬挂于明显处所。</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第二十七条医疗机构必须按照核准登记的诊疗科目开展诊疗活动。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第二十八条医疗机构不得使用非卫生技术人员从事医</w:t>
      </w:r>
      <w:r>
        <w:rPr>
          <w:rFonts w:ascii="仿宋_GB2312" w:eastAsia="仿宋_GB2312" w:hint="eastAsia"/>
          <w:color w:val="484848"/>
          <w:sz w:val="32"/>
          <w:szCs w:val="32"/>
        </w:rPr>
        <w:lastRenderedPageBreak/>
        <w:t>疗卫生技术工作。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第二十九条医疗机构应当加强对医务人员的医德教育。</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第三十条医疗机构工作人员上岗工作，必须佩带载有本人姓名、职务或者职称的标牌。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第三十一条医疗机构对危重病人应当立即抢救。对限于设备或者技术条件不能诊治的病人，应当及时转诊。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第三十二条未经医师（士）亲自诊查病人，医疗机构不得出具疾病诊断书、健康证明书或者死亡证明书等证明文件；未经医师（士）、助产人员亲自接产，医疗机构不得出具出生证明书或者死产报告书。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三条医疗机构施行手术、特殊检查或者特殊治疗时，必须征得患者同意，并应当取得其家属或者关系人同意并签字；无法取得患者意见时，应当取得家属或者关系人同意并签字；无法取得患者意见又无家属或者关系人在场，或者遇到其他特殊情况时，经治医师应当提出医疗处置方案，在取得医疗机构负责人或者被授权负责人员的批准后实施。</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第三十四条医疗机构发生医疗事故，按照国家有关规定处理。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第三十五条医疗机构对传染病、精神病、职业病等患者的特殊诊治和处理，应当按照国家有关法律、法规的规定办</w:t>
      </w:r>
      <w:r>
        <w:rPr>
          <w:rFonts w:ascii="仿宋_GB2312" w:eastAsia="仿宋_GB2312" w:hint="eastAsia"/>
          <w:color w:val="484848"/>
          <w:sz w:val="32"/>
          <w:szCs w:val="32"/>
        </w:rPr>
        <w:lastRenderedPageBreak/>
        <w:t>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第三十六条医疗机构必须按照有关药品管理的法律、法规，加强药品管理。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第三十七条医疗机构必须按照人民政府或者物价部门的有关规定收取医疗费用，详列细项，并出具收据。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第三十八条医疗机构必须承担相应的预防保健工作，承担县级以上人民政府卫生行政部门委托的支援农村、指导基层医疗卫生工作等任务。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第三十九条发生重大灾害、事故、疾病流行或者其他意外情况时，医疗机构及其卫生技术人员必须服从县级以上人民政府卫生行政部门的调遣。</w:t>
      </w: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第五章 监督管理</w:t>
      </w:r>
    </w:p>
    <w:p w:rsidR="00A46468" w:rsidRDefault="00A46468" w:rsidP="00A46468">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第四十条县级以上人民政府卫生行政部门行使下列监督管理职权：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（一）负责医疗机构的设置审批、执业登记和校验；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（二）对医疗机构的执业活动进行检查指导；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（三）负责组织对医疗机构的评审；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（四）对违反本条例的行为给予处罚。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第四十一条国家实行医疗机构评审制度，由专家组成的评审委员会按照医疗机构评审办法和评审标准，对医疗机构的执业活动、医疗服务质量等进行综合评价。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医疗机构评审办法和评审标准由国务院卫生行政部门制定。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第四十二条县级以上地方人民政府卫生行政部门负责组织本行政区域医疗机构评审委员会。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医疗机构评审委员会由医院管理、医学教育、医疗、医技、护理和财务等有关专家组成。评审委员会成员由县级以上地方人民政府卫生行政部门聘任。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第四十三条县级以上地方人民政府卫生行政部门根据评审委员会的评审意见，对达到评审标准的医疗机构，发给评审合格证书；对未达到评审标准的医疗机构，提出处理意见。</w:t>
      </w: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t>第六章 罚 则</w:t>
      </w:r>
    </w:p>
    <w:p w:rsidR="00A46468" w:rsidRDefault="00A46468" w:rsidP="00A46468">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四十四条违反本条例第二十四条规定，未取得《医疗机构执业许可证》擅自执业的，由县级以上人民政府卫生行政部门责令其停止执业活动，没收非法所得和药品、器械，并可以根据情节处以1万元以下的罚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第四十五条违反本条例第二十二条规定，逾期</w:t>
      </w:r>
      <w:proofErr w:type="gramStart"/>
      <w:r>
        <w:rPr>
          <w:rFonts w:ascii="仿宋_GB2312" w:eastAsia="仿宋_GB2312" w:hint="eastAsia"/>
          <w:color w:val="484848"/>
          <w:sz w:val="32"/>
          <w:szCs w:val="32"/>
        </w:rPr>
        <w:t>不</w:t>
      </w:r>
      <w:proofErr w:type="gramEnd"/>
      <w:r>
        <w:rPr>
          <w:rFonts w:ascii="仿宋_GB2312" w:eastAsia="仿宋_GB2312" w:hint="eastAsia"/>
          <w:color w:val="484848"/>
          <w:sz w:val="32"/>
          <w:szCs w:val="32"/>
        </w:rPr>
        <w:t>校验《医疗机构执业许可证》仍从事诊疗活动的，由县级以上人民政府卫生行政部门责令其限期补办校验手续；拒不校验的，吊销其《医疗机构执业许可证》。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第四十六条违反本条例第二十三条规定，出卖、转让、</w:t>
      </w:r>
      <w:r>
        <w:rPr>
          <w:rFonts w:ascii="仿宋_GB2312" w:eastAsia="仿宋_GB2312" w:hint="eastAsia"/>
          <w:color w:val="484848"/>
          <w:sz w:val="32"/>
          <w:szCs w:val="32"/>
        </w:rPr>
        <w:lastRenderedPageBreak/>
        <w:t>出借《医疗机构执业许可证》的，由县级以上人民政府卫生行政部门没收非法所得，并可以处以5000元以下的罚款；情节严重的，吊销其《医疗机构执业许可证》。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七条违反本条例第二十七条规定，诊疗活动超出登记范围的，由县级以上人民政府卫生行政部门予以警告、责令其改正，并可以根据情节处以3000元以下的罚款；情节严重的，吊销其《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八条违反本条例第二十八条规定，使用非卫生技术人员从事医疗卫生技术工作的，由县级以上人民政府卫生行政部门责令其限期改正，并可以处以5000元以下的罚款；情节严重的，吊销其《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十九条违反本条例第三十二条规定，出具虚假证明文件的，由县级以上人民政府卫生行政部门予以警告；对造成危害后果的，可以处以1000元以下的罚款；对直接责任人员由所在单位或者上级机关给予行政处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第五十条没收的财物和罚款全部上交国库。</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一条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t> </w:t>
      </w:r>
    </w:p>
    <w:p w:rsidR="00A46468" w:rsidRDefault="00A46468" w:rsidP="00A46468">
      <w:pPr>
        <w:pStyle w:val="a5"/>
        <w:spacing w:before="0" w:beforeAutospacing="0" w:after="0" w:afterAutospacing="0"/>
        <w:jc w:val="center"/>
        <w:rPr>
          <w:rFonts w:ascii="仿宋_GB2312" w:eastAsia="仿宋_GB2312" w:hint="eastAsia"/>
          <w:color w:val="484848"/>
          <w:sz w:val="32"/>
          <w:szCs w:val="32"/>
        </w:rPr>
      </w:pPr>
      <w:r>
        <w:rPr>
          <w:rStyle w:val="a6"/>
          <w:rFonts w:ascii="微软雅黑" w:eastAsia="微软雅黑" w:hAnsi="微软雅黑" w:hint="eastAsia"/>
          <w:color w:val="484848"/>
          <w:sz w:val="44"/>
          <w:szCs w:val="44"/>
        </w:rPr>
        <w:lastRenderedPageBreak/>
        <w:t>第七章 附 则</w:t>
      </w:r>
    </w:p>
    <w:p w:rsidR="00A46468" w:rsidRDefault="00A46468" w:rsidP="00A46468">
      <w:pPr>
        <w:pStyle w:val="a5"/>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第五十二条本条例实施前已经执业的医疗机构，应当在条例实施后的6个月内，按照本条例第三章的规定，补办登记手续，领取《医疗机构执业许可证》。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第五十三条外国人在中华人民共和国境内开设医疗机构及香港、澳门、台湾居民在内地开设医疗机构的管理办法，由国务院卫生行政部门另行制定。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第五十四条本条例由国务院卫生行政部门负责解释。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第五十五条本条例自1994年9月1日起施行。1951年政务院批准发布的《医院诊所管理暂行条例》同时废止。</w:t>
      </w:r>
    </w:p>
    <w:p w:rsidR="00A46468" w:rsidRPr="00A46468" w:rsidRDefault="00A46468">
      <w:pPr>
        <w:rPr>
          <w:rFonts w:hint="eastAsia"/>
        </w:rPr>
      </w:pPr>
    </w:p>
    <w:sectPr w:rsidR="00A46468" w:rsidRPr="00A46468" w:rsidSect="00650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132" w:rsidRDefault="00E36132" w:rsidP="00A46468">
      <w:r>
        <w:separator/>
      </w:r>
    </w:p>
  </w:endnote>
  <w:endnote w:type="continuationSeparator" w:id="0">
    <w:p w:rsidR="00E36132" w:rsidRDefault="00E36132" w:rsidP="00A46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132" w:rsidRDefault="00E36132" w:rsidP="00A46468">
      <w:r>
        <w:separator/>
      </w:r>
    </w:p>
  </w:footnote>
  <w:footnote w:type="continuationSeparator" w:id="0">
    <w:p w:rsidR="00E36132" w:rsidRDefault="00E36132" w:rsidP="00A46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468"/>
    <w:rsid w:val="00650350"/>
    <w:rsid w:val="00A46468"/>
    <w:rsid w:val="00E36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64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6468"/>
    <w:rPr>
      <w:sz w:val="18"/>
      <w:szCs w:val="18"/>
    </w:rPr>
  </w:style>
  <w:style w:type="paragraph" w:styleId="a4">
    <w:name w:val="footer"/>
    <w:basedOn w:val="a"/>
    <w:link w:val="Char0"/>
    <w:uiPriority w:val="99"/>
    <w:semiHidden/>
    <w:unhideWhenUsed/>
    <w:rsid w:val="00A464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6468"/>
    <w:rPr>
      <w:sz w:val="18"/>
      <w:szCs w:val="18"/>
    </w:rPr>
  </w:style>
  <w:style w:type="paragraph" w:styleId="a5">
    <w:name w:val="Normal (Web)"/>
    <w:basedOn w:val="a"/>
    <w:uiPriority w:val="99"/>
    <w:semiHidden/>
    <w:unhideWhenUsed/>
    <w:rsid w:val="00A4646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6468"/>
    <w:rPr>
      <w:b/>
      <w:bCs/>
    </w:rPr>
  </w:style>
</w:styles>
</file>

<file path=word/webSettings.xml><?xml version="1.0" encoding="utf-8"?>
<w:webSettings xmlns:r="http://schemas.openxmlformats.org/officeDocument/2006/relationships" xmlns:w="http://schemas.openxmlformats.org/wordprocessingml/2006/main">
  <w:divs>
    <w:div w:id="6844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630</Words>
  <Characters>3593</Characters>
  <Application>Microsoft Office Word</Application>
  <DocSecurity>0</DocSecurity>
  <Lines>29</Lines>
  <Paragraphs>8</Paragraphs>
  <ScaleCrop>false</ScaleCrop>
  <Company>微软中国</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2</cp:revision>
  <dcterms:created xsi:type="dcterms:W3CDTF">2019-05-20T07:00:00Z</dcterms:created>
  <dcterms:modified xsi:type="dcterms:W3CDTF">2019-05-20T07:00:00Z</dcterms:modified>
</cp:coreProperties>
</file>